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/>
        </w:tc>
      </w:tr>
    </w:tbl>
    <w:p w:rsidR="00CC0072" w:rsidRDefault="00CC0072"/>
    <w:p w:rsidR="00CC0072" w:rsidRDefault="00CC0072" w:rsidP="00CC0072"/>
    <w:p w:rsidR="00CC0072" w:rsidRPr="00CC0072" w:rsidRDefault="00CC0072" w:rsidP="00CC0072">
      <w:pPr>
        <w:tabs>
          <w:tab w:val="left" w:pos="114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 w:rsidP="00CC0072"/>
        </w:tc>
      </w:tr>
    </w:tbl>
    <w:p w:rsidR="003B3C42" w:rsidRDefault="003B3C42" w:rsidP="00CC0072">
      <w:pPr>
        <w:tabs>
          <w:tab w:val="left" w:pos="11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"/>
      </w:tblGrid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BASICS – full stops, capital letters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their/there and they’re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37"/>
        </w:trPr>
        <w:tc>
          <w:tcPr>
            <w:tcW w:w="4531" w:type="dxa"/>
          </w:tcPr>
          <w:p w:rsidR="00CC0072" w:rsidRDefault="00CC0072" w:rsidP="00CC0072">
            <w:r>
              <w:t>speech punctuation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interesting conjunctions like because, also, whilst, as, in order to 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Fronted adverbials like:  After a while, Leaping high into the air,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>USE the exciting vocabulary we found together</w:t>
            </w:r>
          </w:p>
        </w:tc>
        <w:tc>
          <w:tcPr>
            <w:tcW w:w="509" w:type="dxa"/>
          </w:tcPr>
          <w:p w:rsidR="00CC0072" w:rsidRDefault="00CC0072" w:rsidP="00CC0072"/>
        </w:tc>
      </w:tr>
      <w:tr w:rsidR="00CC0072" w:rsidTr="00CC0072">
        <w:trPr>
          <w:trHeight w:val="413"/>
        </w:trPr>
        <w:tc>
          <w:tcPr>
            <w:tcW w:w="4531" w:type="dxa"/>
          </w:tcPr>
          <w:p w:rsidR="00CC0072" w:rsidRDefault="00CC0072" w:rsidP="00CC0072">
            <w:r>
              <w:t xml:space="preserve">USE your planning sheet and the work we’ve already done! </w:t>
            </w:r>
          </w:p>
        </w:tc>
        <w:tc>
          <w:tcPr>
            <w:tcW w:w="509" w:type="dxa"/>
          </w:tcPr>
          <w:p w:rsidR="00CC0072" w:rsidRDefault="00CC0072" w:rsidP="00CC0072"/>
        </w:tc>
      </w:tr>
    </w:tbl>
    <w:p w:rsidR="00CC0072" w:rsidRDefault="00CC0072" w:rsidP="00CC0072">
      <w:pPr>
        <w:tabs>
          <w:tab w:val="left" w:pos="1140"/>
        </w:tabs>
      </w:pPr>
    </w:p>
    <w:p w:rsidR="00CC0072" w:rsidRPr="00CC0072" w:rsidRDefault="00CC0072" w:rsidP="00CC0072">
      <w:pPr>
        <w:tabs>
          <w:tab w:val="left" w:pos="1140"/>
        </w:tabs>
      </w:pPr>
      <w:bookmarkStart w:id="0" w:name="_GoBack"/>
      <w:bookmarkEnd w:id="0"/>
    </w:p>
    <w:sectPr w:rsidR="00CC0072" w:rsidRPr="00CC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2"/>
    <w:rsid w:val="003B3C42"/>
    <w:rsid w:val="005A1C02"/>
    <w:rsid w:val="00C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26E5"/>
  <w15:chartTrackingRefBased/>
  <w15:docId w15:val="{818A7FD9-BCEB-429E-9BC5-04C1E9D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2020-03-18T08:27:00Z</cp:lastPrinted>
  <dcterms:created xsi:type="dcterms:W3CDTF">2020-03-18T08:25:00Z</dcterms:created>
  <dcterms:modified xsi:type="dcterms:W3CDTF">2020-03-20T05:43:00Z</dcterms:modified>
</cp:coreProperties>
</file>